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980F" w14:textId="539AED5E" w:rsidR="004E3F64" w:rsidRDefault="004E3F64" w:rsidP="004E3F6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895491" wp14:editId="1424B702">
            <wp:simplePos x="0" y="0"/>
            <wp:positionH relativeFrom="column">
              <wp:posOffset>-271145</wp:posOffset>
            </wp:positionH>
            <wp:positionV relativeFrom="paragraph">
              <wp:posOffset>-442595</wp:posOffset>
            </wp:positionV>
            <wp:extent cx="1866900" cy="438150"/>
            <wp:effectExtent l="0" t="0" r="0" b="0"/>
            <wp:wrapNone/>
            <wp:docPr id="147271321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64D808" w14:textId="22443A5D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MGO OPEN-Sicherheitswarnung</w:t>
      </w:r>
    </w:p>
    <w:p w14:paraId="63C075D5" w14:textId="77777777" w:rsidR="004E3F64" w:rsidRPr="004E3F64" w:rsidRDefault="004E3F64" w:rsidP="004E3F64">
      <w:r w:rsidRPr="004E3F64">
        <w:t>Bei den neuen Verbindungselementen MGO OPEN muss die Schraube ausgewechselt werden.</w:t>
      </w:r>
    </w:p>
    <w:p w14:paraId="69755ECB" w14:textId="77777777" w:rsidR="004E3F64" w:rsidRPr="004E3F64" w:rsidRDefault="004E3F64" w:rsidP="004E3F64">
      <w:r w:rsidRPr="004E3F64">
        <w:t xml:space="preserve">1 Juli 2016 </w:t>
      </w:r>
    </w:p>
    <w:p w14:paraId="7DBFB2FA" w14:textId="6A002ABB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drawing>
          <wp:anchor distT="0" distB="0" distL="114300" distR="114300" simplePos="0" relativeHeight="251659264" behindDoc="1" locked="0" layoutInCell="1" allowOverlap="1" wp14:anchorId="0A04F803" wp14:editId="19772720">
            <wp:simplePos x="0" y="0"/>
            <wp:positionH relativeFrom="column">
              <wp:posOffset>71755</wp:posOffset>
            </wp:positionH>
            <wp:positionV relativeFrom="paragraph">
              <wp:posOffset>149860</wp:posOffset>
            </wp:positionV>
            <wp:extent cx="128143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193" y="21424"/>
                <wp:lineTo x="21193" y="0"/>
                <wp:lineTo x="0" y="0"/>
              </wp:wrapPolygon>
            </wp:wrapTight>
            <wp:docPr id="1324562050" name="Grafik 8" descr="Ein Bild, das Metallwaren, Werkzeug, Hartwaren, Ha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62050" name="Grafik 8" descr="Ein Bild, das Metallwaren, Werkzeug, Hartwaren, Ha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21D34" w14:textId="52D5AAA4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Die Fakten</w:t>
      </w:r>
    </w:p>
    <w:p w14:paraId="09671B73" w14:textId="4A638719" w:rsidR="004E3F64" w:rsidRPr="004E3F64" w:rsidRDefault="004E3F64" w:rsidP="004E3F64">
      <w:r w:rsidRPr="004E3F64">
        <w:t xml:space="preserve">Bei einer </w:t>
      </w:r>
      <w:proofErr w:type="gramStart"/>
      <w:r w:rsidRPr="004E3F64">
        <w:t>Qualitätskontrolle</w:t>
      </w:r>
      <w:proofErr w:type="gramEnd"/>
      <w:r w:rsidRPr="004E3F64">
        <w:t xml:space="preserve"> der seit Januar 2016 im Handel befindlichen MGO OPEN-Verbindungselemente haben wir festgestellt, dass bei einer für dieses Produkt verwendeten Schraubenserie ein Wärmebehandlungsfehler vorliegt. Die fehlerhafte Wärmebehandlung kann mit der Zeit möglicherweise dazu führen, dass sich Risse bilden.</w:t>
      </w:r>
      <w:r w:rsidRPr="004E3F64">
        <w:br/>
      </w:r>
      <w:r w:rsidRPr="004E3F64">
        <w:rPr>
          <w:b/>
          <w:bCs/>
        </w:rPr>
        <w:t xml:space="preserve">Es besteht kein unmittelbares Risiko. Aus </w:t>
      </w:r>
      <w:proofErr w:type="spellStart"/>
      <w:r w:rsidRPr="004E3F64">
        <w:rPr>
          <w:b/>
          <w:bCs/>
        </w:rPr>
        <w:t>Sicherheitsgründen</w:t>
      </w:r>
      <w:proofErr w:type="spellEnd"/>
      <w:r w:rsidRPr="004E3F64">
        <w:rPr>
          <w:b/>
          <w:bCs/>
        </w:rPr>
        <w:t xml:space="preserve"> haben wir jedoch beschlossen, alle betroffenen Schrauben auszutauschen.</w:t>
      </w:r>
    </w:p>
    <w:p w14:paraId="5394D029" w14:textId="77777777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Betroffene Produkte</w:t>
      </w:r>
    </w:p>
    <w:p w14:paraId="0F029661" w14:textId="77777777" w:rsidR="004E3F64" w:rsidRPr="004E3F64" w:rsidRDefault="004E3F64" w:rsidP="004E3F64">
      <w:r w:rsidRPr="004E3F64">
        <w:t xml:space="preserve">Hiervon betroffen sind die Verbindungselemente MGO OPEN, Artikelnummer MGOO 60, mit einer </w:t>
      </w:r>
      <w:proofErr w:type="spellStart"/>
      <w:r w:rsidRPr="004E3F64">
        <w:t>Seriennumer</w:t>
      </w:r>
      <w:proofErr w:type="spellEnd"/>
      <w:r w:rsidRPr="004E3F64">
        <w:t xml:space="preserve"> unter 16132XXXXX. Sie wurden zwischen Januar 2016 und dem 11. Mai 2016 geliefert.</w:t>
      </w:r>
    </w:p>
    <w:p w14:paraId="714FC6C6" w14:textId="77777777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Nichtkonformität</w:t>
      </w:r>
    </w:p>
    <w:p w14:paraId="1C899B55" w14:textId="77777777" w:rsidR="004E3F64" w:rsidRPr="004E3F64" w:rsidRDefault="004E3F64" w:rsidP="004E3F64">
      <w:r w:rsidRPr="004E3F64">
        <w:t>Die nicht konformen Schrauben in den MGO OPEN sind leicht zu erkennen:</w:t>
      </w:r>
    </w:p>
    <w:p w14:paraId="6618DA07" w14:textId="0128FA2B" w:rsidR="004E3F64" w:rsidRPr="004E3F64" w:rsidRDefault="004E3F64" w:rsidP="004E3F64">
      <w:r w:rsidRPr="004E3F64">
        <w:drawing>
          <wp:inline distT="0" distB="0" distL="0" distR="0" wp14:anchorId="24FF125C" wp14:editId="2F4258EF">
            <wp:extent cx="3693603" cy="2706688"/>
            <wp:effectExtent l="0" t="0" r="2540" b="0"/>
            <wp:docPr id="1737064000" name="Grafik 7" descr="Ein Bild, das Werkzeug, Hartwaren, Metal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64000" name="Grafik 7" descr="Ein Bild, das Werkzeug, Hartwaren, Metal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06" cy="271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29B0" w14:textId="4F11DEEF" w:rsidR="004E3F64" w:rsidRPr="004E3F64" w:rsidRDefault="004E3F64" w:rsidP="004E3F64">
      <w:r w:rsidRPr="004E3F64">
        <w:lastRenderedPageBreak/>
        <w:drawing>
          <wp:inline distT="0" distB="0" distL="0" distR="0" wp14:anchorId="68701595" wp14:editId="34F2F93F">
            <wp:extent cx="2447925" cy="2447925"/>
            <wp:effectExtent l="0" t="0" r="9525" b="9525"/>
            <wp:docPr id="1389774234" name="Grafik 6" descr="Ein Bild, das Zylinder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74234" name="Grafik 6" descr="Ein Bild, das Zylinder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3B67" w14:textId="77777777" w:rsidR="004E3F64" w:rsidRPr="004E3F64" w:rsidRDefault="004E3F64" w:rsidP="004E3F64">
      <w:r w:rsidRPr="004E3F64">
        <w:t> </w:t>
      </w:r>
      <w:r w:rsidRPr="004E3F64">
        <w:rPr>
          <w:color w:val="EE0000"/>
        </w:rPr>
        <w:t>Nicht konform</w:t>
      </w:r>
      <w:r w:rsidRPr="004E3F64">
        <w:t>e Schraube</w:t>
      </w:r>
    </w:p>
    <w:p w14:paraId="3C489890" w14:textId="1A8FE46D" w:rsidR="004E3F64" w:rsidRPr="004E3F64" w:rsidRDefault="004E3F64" w:rsidP="004E3F64">
      <w:r w:rsidRPr="004E3F64">
        <w:drawing>
          <wp:inline distT="0" distB="0" distL="0" distR="0" wp14:anchorId="2EF8DDE1" wp14:editId="534222A7">
            <wp:extent cx="2873151" cy="2867025"/>
            <wp:effectExtent l="0" t="0" r="3810" b="0"/>
            <wp:docPr id="952222185" name="Grafik 5" descr="Ein Bild, das Im Haus, Nad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22185" name="Grafik 5" descr="Ein Bild, das Im Haus, Nad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74" cy="28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A45A" w14:textId="77777777" w:rsidR="004E3F64" w:rsidRPr="004E3F64" w:rsidRDefault="004E3F64" w:rsidP="004E3F64">
      <w:r w:rsidRPr="004E3F64">
        <w:t> </w:t>
      </w:r>
      <w:r w:rsidRPr="004E3F64">
        <w:rPr>
          <w:color w:val="4EA72E" w:themeColor="accent6"/>
        </w:rPr>
        <w:t xml:space="preserve">konforme Schraube </w:t>
      </w:r>
      <w:r w:rsidRPr="004E3F64">
        <w:t>gekennzeichnet mit dem Buchstaben C</w:t>
      </w:r>
    </w:p>
    <w:p w14:paraId="67DAFAF1" w14:textId="77777777" w:rsidR="004E3F64" w:rsidRPr="004E3F64" w:rsidRDefault="004E3F64" w:rsidP="004E3F64">
      <w:r w:rsidRPr="004E3F64">
        <w:t>Folgende Produkte sind von diesem Problem nicht betroffen: RING OPEN, SEQUOIA, MICRO SWIVEL, SWIVEL OPEN.</w:t>
      </w:r>
    </w:p>
    <w:p w14:paraId="17685154" w14:textId="77777777" w:rsidR="004E3F64" w:rsidRDefault="004E3F64" w:rsidP="004E3F64">
      <w:pPr>
        <w:rPr>
          <w:b/>
          <w:bCs/>
        </w:rPr>
      </w:pPr>
    </w:p>
    <w:p w14:paraId="080C9E87" w14:textId="77777777" w:rsidR="004E3F64" w:rsidRDefault="004E3F64" w:rsidP="004E3F64">
      <w:pPr>
        <w:rPr>
          <w:b/>
          <w:bCs/>
        </w:rPr>
      </w:pPr>
    </w:p>
    <w:p w14:paraId="56D9DF1E" w14:textId="1804B7D1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Was zu tun ist</w:t>
      </w:r>
    </w:p>
    <w:p w14:paraId="7F516D7E" w14:textId="77777777" w:rsidR="004E3F64" w:rsidRPr="004E3F64" w:rsidRDefault="004E3F64" w:rsidP="004E3F64">
      <w:r w:rsidRPr="004E3F64">
        <w:rPr>
          <w:b/>
          <w:bCs/>
        </w:rPr>
        <w:t>Bei allen neuen MGO OPEN mit einer Seriennummer unter 16132xxxxx muss die Schraube ausgetauscht werden, wenn der Schraubenkopf nicht mit dem Buchstaben C gekennzeichnet ist.</w:t>
      </w:r>
    </w:p>
    <w:p w14:paraId="1451B9C6" w14:textId="77777777" w:rsidR="004E3F64" w:rsidRDefault="004E3F64" w:rsidP="004E3F64">
      <w:pPr>
        <w:rPr>
          <w:b/>
          <w:bCs/>
        </w:rPr>
      </w:pPr>
    </w:p>
    <w:p w14:paraId="1576BEA7" w14:textId="77777777" w:rsidR="004E3F64" w:rsidRDefault="004E3F64" w:rsidP="004E3F64">
      <w:pPr>
        <w:rPr>
          <w:b/>
          <w:bCs/>
        </w:rPr>
      </w:pPr>
    </w:p>
    <w:p w14:paraId="59EC65B4" w14:textId="77777777" w:rsidR="004E3F64" w:rsidRDefault="004E3F64" w:rsidP="004E3F64">
      <w:pPr>
        <w:rPr>
          <w:b/>
          <w:bCs/>
        </w:rPr>
      </w:pPr>
    </w:p>
    <w:p w14:paraId="612D9906" w14:textId="77777777" w:rsidR="004E3F64" w:rsidRDefault="004E3F64" w:rsidP="004E3F64">
      <w:pPr>
        <w:rPr>
          <w:b/>
          <w:bCs/>
        </w:rPr>
      </w:pPr>
    </w:p>
    <w:p w14:paraId="71E274AE" w14:textId="5D069922" w:rsidR="004E3F64" w:rsidRPr="004E3F64" w:rsidRDefault="004E3F64" w:rsidP="004E3F64">
      <w:pPr>
        <w:rPr>
          <w:b/>
          <w:bCs/>
        </w:rPr>
      </w:pPr>
      <w:r w:rsidRPr="004E3F64">
        <w:rPr>
          <w:b/>
          <w:bCs/>
        </w:rPr>
        <w:t>Vorgehensweise</w:t>
      </w:r>
    </w:p>
    <w:p w14:paraId="17A3256F" w14:textId="77777777" w:rsidR="004E3F64" w:rsidRPr="004E3F64" w:rsidRDefault="004E3F64" w:rsidP="004E3F64">
      <w:r w:rsidRPr="004E3F64">
        <w:rPr>
          <w:b/>
          <w:bCs/>
        </w:rPr>
        <w:t xml:space="preserve">1. </w:t>
      </w:r>
      <w:proofErr w:type="spellStart"/>
      <w:r w:rsidRPr="004E3F64">
        <w:rPr>
          <w:b/>
          <w:bCs/>
        </w:rPr>
        <w:t>Für</w:t>
      </w:r>
      <w:proofErr w:type="spellEnd"/>
      <w:r w:rsidRPr="004E3F64">
        <w:rPr>
          <w:b/>
          <w:bCs/>
        </w:rPr>
        <w:t xml:space="preserve"> den Austausch der Schraube wenden Sie sich bitte an den </w:t>
      </w:r>
      <w:proofErr w:type="spellStart"/>
      <w:r w:rsidRPr="004E3F64">
        <w:rPr>
          <w:b/>
          <w:bCs/>
        </w:rPr>
        <w:t>Petzl</w:t>
      </w:r>
      <w:proofErr w:type="spellEnd"/>
      <w:r w:rsidRPr="004E3F64">
        <w:rPr>
          <w:b/>
          <w:bCs/>
        </w:rPr>
        <w:t>-Distributor in Ihrem Land.</w:t>
      </w:r>
      <w:r w:rsidRPr="004E3F64">
        <w:br/>
        <w:t xml:space="preserve">Er wird Ihnen </w:t>
      </w:r>
      <w:proofErr w:type="spellStart"/>
      <w:r w:rsidRPr="004E3F64">
        <w:t>für</w:t>
      </w:r>
      <w:proofErr w:type="spellEnd"/>
      <w:r w:rsidRPr="004E3F64">
        <w:t xml:space="preserve"> alle in Ihrem Besitz befindlichen neuen MGO OPEN einen Umbausatz zusenden. Dieser beinhaltet:</w:t>
      </w:r>
    </w:p>
    <w:p w14:paraId="68DFCE4A" w14:textId="77777777" w:rsidR="004E3F64" w:rsidRPr="004E3F64" w:rsidRDefault="004E3F64" w:rsidP="004E3F64">
      <w:pPr>
        <w:numPr>
          <w:ilvl w:val="0"/>
          <w:numId w:val="1"/>
        </w:numPr>
      </w:pPr>
      <w:r w:rsidRPr="004E3F64">
        <w:t>eine mit dem Buchstaben C gekennzeichnete konforme Schraube,</w:t>
      </w:r>
    </w:p>
    <w:p w14:paraId="6CF9EB36" w14:textId="77777777" w:rsidR="004E3F64" w:rsidRPr="004E3F64" w:rsidRDefault="004E3F64" w:rsidP="004E3F64">
      <w:pPr>
        <w:numPr>
          <w:ilvl w:val="0"/>
          <w:numId w:val="1"/>
        </w:numPr>
      </w:pPr>
      <w:r w:rsidRPr="004E3F64">
        <w:t xml:space="preserve">eine Montageanleitung </w:t>
      </w:r>
      <w:proofErr w:type="spellStart"/>
      <w:r w:rsidRPr="004E3F64">
        <w:t>für</w:t>
      </w:r>
      <w:proofErr w:type="spellEnd"/>
      <w:r w:rsidRPr="004E3F64">
        <w:t xml:space="preserve"> die Schraube,</w:t>
      </w:r>
    </w:p>
    <w:p w14:paraId="4AC159E6" w14:textId="77777777" w:rsidR="004E3F64" w:rsidRPr="004E3F64" w:rsidRDefault="004E3F64" w:rsidP="004E3F64">
      <w:pPr>
        <w:numPr>
          <w:ilvl w:val="0"/>
          <w:numId w:val="1"/>
        </w:numPr>
      </w:pPr>
      <w:r w:rsidRPr="004E3F64">
        <w:t xml:space="preserve">einen </w:t>
      </w:r>
      <w:proofErr w:type="spellStart"/>
      <w:r w:rsidRPr="004E3F64">
        <w:t>grünen</w:t>
      </w:r>
      <w:proofErr w:type="spellEnd"/>
      <w:r w:rsidRPr="004E3F64">
        <w:t xml:space="preserve"> Aufkleber zum Markieren der modifizierten Produkte.</w:t>
      </w:r>
    </w:p>
    <w:p w14:paraId="76A299F4" w14:textId="77777777" w:rsidR="004E3F64" w:rsidRPr="004E3F64" w:rsidRDefault="004E3F64" w:rsidP="004E3F64">
      <w:r w:rsidRPr="004E3F64">
        <w:rPr>
          <w:b/>
          <w:bCs/>
        </w:rPr>
        <w:t>2. Wechseln Sie die Schraube des MGO OPEN aus.</w:t>
      </w:r>
      <w:r w:rsidRPr="004E3F64">
        <w:rPr>
          <w:b/>
          <w:bCs/>
        </w:rPr>
        <w:br/>
        <w:t>3. Zerstören und entsorgen Sie die schadhafte Schraube.</w:t>
      </w:r>
    </w:p>
    <w:p w14:paraId="5CDCB0CA" w14:textId="77777777" w:rsidR="004E3F64" w:rsidRDefault="004E3F64" w:rsidP="004E3F64">
      <w:pPr>
        <w:rPr>
          <w:b/>
          <w:bCs/>
        </w:rPr>
      </w:pPr>
    </w:p>
    <w:p w14:paraId="56F917D5" w14:textId="672A4D19" w:rsidR="004E3F64" w:rsidRPr="004E3F64" w:rsidRDefault="004E3F64" w:rsidP="004E3F64">
      <w:r w:rsidRPr="004E3F64">
        <w:rPr>
          <w:b/>
          <w:bCs/>
        </w:rPr>
        <w:t xml:space="preserve">Wir danken Ihnen im Voraus </w:t>
      </w:r>
      <w:proofErr w:type="spellStart"/>
      <w:r w:rsidRPr="004E3F64">
        <w:rPr>
          <w:b/>
          <w:bCs/>
        </w:rPr>
        <w:t>für</w:t>
      </w:r>
      <w:proofErr w:type="spellEnd"/>
      <w:r w:rsidRPr="004E3F64">
        <w:rPr>
          <w:b/>
          <w:bCs/>
        </w:rPr>
        <w:t xml:space="preserve"> Ihre </w:t>
      </w:r>
      <w:proofErr w:type="spellStart"/>
      <w:r w:rsidRPr="004E3F64">
        <w:rPr>
          <w:b/>
          <w:bCs/>
        </w:rPr>
        <w:t>Unterstützung</w:t>
      </w:r>
      <w:proofErr w:type="spellEnd"/>
      <w:r w:rsidRPr="004E3F64">
        <w:rPr>
          <w:b/>
          <w:bCs/>
        </w:rPr>
        <w:t xml:space="preserve"> in dieser Angelegenheit.</w:t>
      </w:r>
      <w:r w:rsidRPr="004E3F64">
        <w:rPr>
          <w:b/>
          <w:bCs/>
        </w:rPr>
        <w:br/>
      </w:r>
      <w:proofErr w:type="spellStart"/>
      <w:r w:rsidRPr="004E3F64">
        <w:rPr>
          <w:b/>
          <w:bCs/>
        </w:rPr>
        <w:t>Für</w:t>
      </w:r>
      <w:proofErr w:type="spellEnd"/>
      <w:r w:rsidRPr="004E3F64">
        <w:rPr>
          <w:b/>
          <w:bCs/>
        </w:rPr>
        <w:t xml:space="preserve"> weitere </w:t>
      </w:r>
      <w:proofErr w:type="spellStart"/>
      <w:r w:rsidRPr="004E3F64">
        <w:rPr>
          <w:b/>
          <w:bCs/>
        </w:rPr>
        <w:t>Auskünfte</w:t>
      </w:r>
      <w:proofErr w:type="spellEnd"/>
      <w:r w:rsidRPr="004E3F64">
        <w:rPr>
          <w:b/>
          <w:bCs/>
        </w:rPr>
        <w:t xml:space="preserve"> steht Ihnen Ihr örtlicher Distributor gerne zur </w:t>
      </w:r>
      <w:proofErr w:type="spellStart"/>
      <w:r w:rsidRPr="004E3F64">
        <w:rPr>
          <w:b/>
          <w:bCs/>
        </w:rPr>
        <w:t>Verfügung</w:t>
      </w:r>
      <w:proofErr w:type="spellEnd"/>
      <w:r w:rsidRPr="004E3F64">
        <w:rPr>
          <w:b/>
          <w:bCs/>
        </w:rPr>
        <w:t>:</w:t>
      </w:r>
      <w:r w:rsidRPr="004E3F64">
        <w:br/>
        <w:t>Kontakt Kundendienst Frankreich: aftersales@petzl.com</w:t>
      </w:r>
      <w:r w:rsidRPr="004E3F64">
        <w:br/>
      </w:r>
      <w:hyperlink r:id="rId10" w:tgtFrame="_blank" w:history="1">
        <w:r w:rsidRPr="004E3F64">
          <w:rPr>
            <w:rStyle w:val="Hyperlink"/>
          </w:rPr>
          <w:t>Andere Länder</w:t>
        </w:r>
      </w:hyperlink>
    </w:p>
    <w:p w14:paraId="2D141953" w14:textId="77777777" w:rsidR="004E3F64" w:rsidRPr="004E3F64" w:rsidRDefault="004E3F64" w:rsidP="004E3F64">
      <w:r w:rsidRPr="004E3F64">
        <w:t xml:space="preserve">Die Zufriedenheit und die Sicherheit der Kunden stehen bei </w:t>
      </w:r>
      <w:proofErr w:type="spellStart"/>
      <w:r w:rsidRPr="004E3F64">
        <w:t>Petzl</w:t>
      </w:r>
      <w:proofErr w:type="spellEnd"/>
      <w:r w:rsidRPr="004E3F64">
        <w:t xml:space="preserve"> immer an erster Stelle. Wir sind uns der Unannehmlichkeiten, die dieser Aufruf mit sich bringt, bewusst und danken Ihnen im Voraus </w:t>
      </w:r>
      <w:proofErr w:type="spellStart"/>
      <w:r w:rsidRPr="004E3F64">
        <w:t>für</w:t>
      </w:r>
      <w:proofErr w:type="spellEnd"/>
      <w:r w:rsidRPr="004E3F64">
        <w:t xml:space="preserve"> Ihre Hilfe.</w:t>
      </w:r>
    </w:p>
    <w:p w14:paraId="6DE2C42F" w14:textId="77777777" w:rsidR="00EC6F42" w:rsidRDefault="00EC6F42"/>
    <w:sectPr w:rsidR="00EC6F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51534"/>
    <w:multiLevelType w:val="multilevel"/>
    <w:tmpl w:val="66D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40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64"/>
    <w:rsid w:val="004E3F64"/>
    <w:rsid w:val="00AE79A5"/>
    <w:rsid w:val="00E21C74"/>
    <w:rsid w:val="00E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FE18"/>
  <w15:chartTrackingRefBased/>
  <w15:docId w15:val="{7831C04B-E17B-478C-B35B-577B7E66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3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3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3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3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3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3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3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3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3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3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F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F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F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F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F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F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3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3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3F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3F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3F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3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3F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3F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E3F6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petzl.com/DE/de/Professional/Kontak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Schneider - Wiedenmann-Seile GmbH</dc:creator>
  <cp:keywords/>
  <dc:description/>
  <cp:lastModifiedBy>Edith Schneider - Wiedenmann-Seile GmbH</cp:lastModifiedBy>
  <cp:revision>1</cp:revision>
  <dcterms:created xsi:type="dcterms:W3CDTF">2025-05-30T09:25:00Z</dcterms:created>
  <dcterms:modified xsi:type="dcterms:W3CDTF">2025-05-30T09:28:00Z</dcterms:modified>
</cp:coreProperties>
</file>